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78222F0B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9D130A">
        <w:rPr>
          <w:b/>
          <w:sz w:val="28"/>
          <w:szCs w:val="28"/>
        </w:rPr>
        <w:t xml:space="preserve">Microbusiness </w:t>
      </w:r>
      <w:r w:rsidRPr="00653684">
        <w:rPr>
          <w:b/>
          <w:sz w:val="28"/>
          <w:szCs w:val="28"/>
        </w:rPr>
        <w:t>Marketing Leverage Program</w:t>
      </w:r>
      <w:r w:rsidRPr="00653684">
        <w:rPr>
          <w:b/>
          <w:sz w:val="28"/>
          <w:szCs w:val="28"/>
        </w:rPr>
        <w:br/>
      </w:r>
    </w:p>
    <w:p w14:paraId="00A48A14" w14:textId="40144DE7" w:rsidR="00EE4061" w:rsidRPr="00653684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Final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458D8E56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FE7154">
        <w:rPr>
          <w:b/>
          <w:sz w:val="28"/>
          <w:szCs w:val="28"/>
        </w:rPr>
        <w:t xml:space="preserve">Microbusiness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7D1DD270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03242C">
              <w:rPr>
                <w:rFonts w:ascii="Calibri" w:hAnsi="Calibri"/>
                <w:b/>
                <w:color w:val="000000"/>
                <w:szCs w:val="24"/>
              </w:rPr>
              <w:t>FINAL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3242C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2F0BB3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4</cp:revision>
  <cp:lastPrinted>2026-01-30T23:42:00Z</cp:lastPrinted>
  <dcterms:created xsi:type="dcterms:W3CDTF">2026-01-30T23:44:00Z</dcterms:created>
  <dcterms:modified xsi:type="dcterms:W3CDTF">2026-02-02T17:20:00Z</dcterms:modified>
</cp:coreProperties>
</file>